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10195"/>
      </w:tblGrid>
      <w:tr w:rsidR="00735D34" w:rsidRPr="00515341"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515341" w:rsidRDefault="001E7A02" w:rsidP="00F072B9">
            <w:pPr>
              <w:spacing w:after="0" w:line="240" w:lineRule="auto"/>
              <w:rPr>
                <w:rFonts w:asciiTheme="majorHAnsi" w:hAnsiTheme="majorHAnsi" w:cstheme="majorHAnsi"/>
              </w:rPr>
            </w:pPr>
            <w:r w:rsidRPr="00515341">
              <w:rPr>
                <w:rFonts w:asciiTheme="majorHAnsi" w:hAnsiTheme="majorHAnsi" w:cstheme="majorHAnsi"/>
                <w:b/>
                <w:color w:val="FFFFFF"/>
              </w:rPr>
              <w:t xml:space="preserve">IŠTEKLIŲ AGENTŪRA </w:t>
            </w:r>
            <w:r w:rsidR="00735D34" w:rsidRPr="00515341">
              <w:rPr>
                <w:rFonts w:asciiTheme="majorHAnsi" w:hAnsiTheme="majorHAnsi" w:cstheme="majorHAnsi"/>
                <w:b/>
                <w:color w:val="FFFFFF"/>
              </w:rPr>
              <w:t xml:space="preserve"> &gt; PIRKIMO DOKUMENTAI &gt; TECHNINĖ SPECIFIKACIJA</w:t>
            </w:r>
          </w:p>
        </w:tc>
      </w:tr>
    </w:tbl>
    <w:p w14:paraId="66A20C7A" w14:textId="77777777" w:rsidR="00735D34" w:rsidRPr="00515341" w:rsidRDefault="00735D34" w:rsidP="00D10A1D">
      <w:pPr>
        <w:spacing w:after="0" w:line="24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0195"/>
      </w:tblGrid>
      <w:tr w:rsidR="00735D34" w:rsidRPr="00515341"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303BB8BF" w:rsidR="00735D34" w:rsidRPr="00515341" w:rsidRDefault="00515341" w:rsidP="00475E22">
            <w:pPr>
              <w:spacing w:after="0" w:line="240" w:lineRule="auto"/>
              <w:jc w:val="center"/>
              <w:rPr>
                <w:rFonts w:asciiTheme="majorHAnsi" w:hAnsiTheme="majorHAnsi" w:cstheme="majorHAnsi"/>
              </w:rPr>
            </w:pPr>
            <w:r w:rsidRPr="00515341">
              <w:rPr>
                <w:rFonts w:asciiTheme="majorHAnsi" w:hAnsiTheme="majorHAnsi" w:cstheme="majorHAnsi"/>
                <w:b/>
              </w:rPr>
              <w:t>Informacijos saugos valdymo sistemos, informacinių sistemų ir registrų saugos vertinimo paslaugos (PPR-1123)</w:t>
            </w:r>
          </w:p>
        </w:tc>
      </w:tr>
    </w:tbl>
    <w:p w14:paraId="587E77A2" w14:textId="77777777" w:rsidR="00871A33" w:rsidRPr="00515341" w:rsidRDefault="00871A33" w:rsidP="00871A33">
      <w:pPr>
        <w:spacing w:before="60" w:after="60" w:line="240" w:lineRule="auto"/>
        <w:rPr>
          <w:rFonts w:asciiTheme="majorHAnsi" w:hAnsiTheme="majorHAnsi" w:cstheme="majorHAnsi"/>
          <w:i/>
        </w:rPr>
      </w:pPr>
    </w:p>
    <w:p w14:paraId="06C0607D" w14:textId="77777777" w:rsidR="00871A33" w:rsidRPr="00515341" w:rsidRDefault="00871A33" w:rsidP="00871A33">
      <w:pPr>
        <w:pStyle w:val="Sraopastraipa"/>
        <w:numPr>
          <w:ilvl w:val="0"/>
          <w:numId w:val="3"/>
        </w:numPr>
        <w:spacing w:before="60" w:after="60" w:line="240" w:lineRule="auto"/>
        <w:jc w:val="center"/>
        <w:rPr>
          <w:rFonts w:asciiTheme="majorHAnsi" w:hAnsiTheme="majorHAnsi" w:cstheme="majorHAnsi"/>
          <w:b/>
          <w:bCs/>
          <w:sz w:val="24"/>
          <w:szCs w:val="24"/>
          <w:lang w:val="lt-LT"/>
        </w:rPr>
      </w:pPr>
      <w:r w:rsidRPr="00515341">
        <w:rPr>
          <w:rFonts w:asciiTheme="majorHAnsi" w:eastAsia="Calibri" w:hAnsiTheme="majorHAnsi" w:cstheme="majorHAnsi"/>
          <w:b/>
          <w:bCs/>
          <w:caps/>
          <w:sz w:val="24"/>
          <w:szCs w:val="24"/>
          <w:lang w:val="lt-LT"/>
        </w:rPr>
        <w:t>Reikalavimai susiję su nacionaliniu saugumu</w:t>
      </w:r>
    </w:p>
    <w:p w14:paraId="1D425EB3" w14:textId="77777777" w:rsidR="00871A33" w:rsidRPr="00515341" w:rsidRDefault="00871A33" w:rsidP="00871A33">
      <w:pPr>
        <w:tabs>
          <w:tab w:val="left" w:pos="1335"/>
          <w:tab w:val="center" w:pos="5174"/>
        </w:tabs>
        <w:jc w:val="center"/>
        <w:rPr>
          <w:rFonts w:asciiTheme="majorHAnsi" w:hAnsiTheme="majorHAnsi" w:cstheme="majorHAnsi"/>
          <w:szCs w:val="24"/>
        </w:rPr>
      </w:pPr>
    </w:p>
    <w:p w14:paraId="1637B0DA" w14:textId="77777777" w:rsidR="00871A33" w:rsidRPr="00515341" w:rsidRDefault="00871A33" w:rsidP="00871A33">
      <w:pPr>
        <w:spacing w:before="60" w:after="60"/>
        <w:ind w:firstLine="709"/>
        <w:jc w:val="both"/>
        <w:rPr>
          <w:rFonts w:asciiTheme="majorHAnsi" w:hAnsiTheme="majorHAnsi" w:cstheme="majorHAnsi"/>
          <w:b/>
          <w:bCs/>
          <w:szCs w:val="24"/>
        </w:rPr>
      </w:pPr>
      <w:r w:rsidRPr="00515341">
        <w:rPr>
          <w:rFonts w:asciiTheme="majorHAnsi" w:hAnsiTheme="majorHAnsi" w:cstheme="majorHAnsi"/>
          <w:b/>
          <w:bCs/>
          <w:szCs w:val="24"/>
          <w:u w:val="single"/>
        </w:rPr>
        <w:t>Pirkimo objektui taikomi Lietuvos Respublikos viešųjų pirkimų įstatymo 37 str. 8 dalies ir 9 dalies reikalavimai susiję su nacionaliniu saugumu:</w:t>
      </w:r>
    </w:p>
    <w:p w14:paraId="71885B08" w14:textId="70EE59BE" w:rsidR="00871A33" w:rsidRPr="00515341" w:rsidRDefault="00871A33" w:rsidP="00871A33">
      <w:pPr>
        <w:spacing w:before="60" w:after="60"/>
        <w:ind w:firstLine="567"/>
        <w:jc w:val="both"/>
        <w:rPr>
          <w:rFonts w:asciiTheme="majorHAnsi" w:hAnsiTheme="majorHAnsi" w:cstheme="majorHAnsi"/>
          <w:szCs w:val="24"/>
        </w:rPr>
      </w:pPr>
      <w:r w:rsidRPr="00515341">
        <w:rPr>
          <w:rFonts w:asciiTheme="majorHAnsi" w:hAnsiTheme="majorHAnsi" w:cstheme="majorHAnsi"/>
          <w:bCs/>
          <w:szCs w:val="24"/>
        </w:rPr>
        <w:t xml:space="preserve">1. </w:t>
      </w:r>
      <w:r w:rsidRPr="00515341">
        <w:rPr>
          <w:rFonts w:asciiTheme="majorHAnsi" w:hAnsiTheme="majorHAnsi" w:cstheme="majorHAnsi"/>
          <w:bCs/>
          <w:szCs w:val="24"/>
          <w:u w:val="single"/>
        </w:rPr>
        <w:t>Pirkimo objektui taikomi Lietuvos Respublikos viešųjų pirkimų įstatymo 37 str. 8 dalies reikalavimai susiję su nacionaliniu saugumu.</w:t>
      </w:r>
      <w:r w:rsidRPr="00515341">
        <w:rPr>
          <w:rFonts w:asciiTheme="majorHAnsi" w:hAnsiTheme="majorHAnsi" w:cstheme="majorHAnsi"/>
          <w:b/>
          <w:szCs w:val="24"/>
          <w:u w:val="single"/>
        </w:rPr>
        <w:t xml:space="preserve"> </w:t>
      </w:r>
      <w:r w:rsidRPr="00515341">
        <w:rPr>
          <w:rFonts w:asciiTheme="majorHAnsi" w:hAnsiTheme="majorHAnsi" w:cstheme="majorHAnsi"/>
          <w:bCs/>
          <w:szCs w:val="24"/>
        </w:rPr>
        <w:t>Tiekėjo siūlomos paslaugos turi nekelti grėsmės nacionaliniam saugumui, kaip nurodyta VPĮ 37 straipsnio 8 dalyje.</w:t>
      </w:r>
      <w:r w:rsidRPr="00515341">
        <w:rPr>
          <w:rFonts w:asciiTheme="majorHAnsi" w:hAnsiTheme="majorHAnsi" w:cstheme="majorHAnsi"/>
          <w:b/>
          <w:szCs w:val="24"/>
        </w:rPr>
        <w:t xml:space="preserve"> </w:t>
      </w:r>
      <w:r w:rsidRPr="00515341">
        <w:rPr>
          <w:rFonts w:asciiTheme="majorHAnsi" w:hAnsiTheme="majorHAnsi" w:cstheme="majorHAnsi"/>
          <w:szCs w:val="24"/>
        </w:rPr>
        <w:t>Perkančioji organizacija</w:t>
      </w:r>
      <w:r w:rsidRPr="00515341">
        <w:rPr>
          <w:rFonts w:asciiTheme="majorHAnsi" w:hAnsiTheme="majorHAnsi" w:cstheme="majorHAnsi"/>
          <w:szCs w:val="24"/>
          <w:u w:val="single"/>
        </w:rPr>
        <w:t xml:space="preserve"> reikalauja, kad </w:t>
      </w:r>
      <w:r w:rsidRPr="00515341">
        <w:rPr>
          <w:rFonts w:asciiTheme="majorHAnsi" w:hAnsiTheme="majorHAnsi" w:cstheme="majorHAnsi"/>
          <w:szCs w:val="24"/>
        </w:rPr>
        <w:t>tiekėjo siūlomos paslaugos nekeltų grėsmės nacionaliniam saugumui, kai sandorio pagrindu susidarytų aplinkybės, nurodytos Nacionaliniam saugumui užtikrinti svarbių objektų apsaugos įstatymo 13 straipsnio 4 dalies 1 punkte.</w:t>
      </w:r>
      <w:r w:rsidRPr="00515341" w:rsidDel="00A660A0">
        <w:rPr>
          <w:rFonts w:asciiTheme="majorHAnsi" w:hAnsiTheme="majorHAnsi" w:cstheme="majorHAnsi"/>
          <w:szCs w:val="24"/>
        </w:rPr>
        <w:t xml:space="preserve"> </w:t>
      </w:r>
      <w:r w:rsidRPr="00515341">
        <w:rPr>
          <w:rFonts w:asciiTheme="majorHAnsi" w:hAnsiTheme="majorHAnsi" w:cstheme="majorHAnsi"/>
          <w:szCs w:val="24"/>
        </w:rPr>
        <w:t>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w:t>
      </w:r>
      <w:r w:rsidR="00131693">
        <w:rPr>
          <w:rFonts w:asciiTheme="majorHAnsi" w:hAnsiTheme="majorHAnsi" w:cstheme="majorHAnsi"/>
          <w:szCs w:val="24"/>
        </w:rPr>
        <w:t xml:space="preserve"> </w:t>
      </w:r>
      <w:r w:rsidR="00303B21" w:rsidRPr="00303B21">
        <w:rPr>
          <w:rFonts w:asciiTheme="majorHAnsi" w:hAnsiTheme="majorHAnsi" w:cstheme="majorHAnsi"/>
          <w:szCs w:val="24"/>
        </w:rPr>
        <w:t>[jei taikoma]</w:t>
      </w:r>
      <w:r w:rsidRPr="00515341">
        <w:rPr>
          <w:rFonts w:asciiTheme="majorHAnsi" w:hAnsiTheme="majorHAnsi" w:cstheme="majorHAnsi"/>
          <w:szCs w:val="24"/>
        </w:rPr>
        <w:t xml:space="preserve">, atitikimą SS nustatytiems kvalifikacijos reikalavimams </w:t>
      </w:r>
      <w:r w:rsidR="00303B21" w:rsidRPr="00303B21">
        <w:rPr>
          <w:rFonts w:asciiTheme="majorHAnsi" w:hAnsiTheme="majorHAnsi" w:cstheme="majorHAnsi"/>
          <w:szCs w:val="24"/>
        </w:rPr>
        <w:t xml:space="preserve">[jei taikoma], </w:t>
      </w:r>
      <w:r w:rsidR="00C92BFC" w:rsidRPr="00C92BFC">
        <w:rPr>
          <w:rFonts w:asciiTheme="majorHAnsi" w:hAnsiTheme="majorHAnsi" w:cstheme="majorHAnsi"/>
          <w:szCs w:val="24"/>
        </w:rPr>
        <w:t xml:space="preserve">kokybės vadybos sistemos ir (arba) aplinkos apsaugos vadybos sistemos standartams [jei taikoma] </w:t>
      </w:r>
      <w:r w:rsidRPr="00515341">
        <w:rPr>
          <w:rFonts w:asciiTheme="majorHAnsi" w:hAnsiTheme="majorHAnsi" w:cstheme="majorHAnsi"/>
          <w:szCs w:val="24"/>
        </w:rPr>
        <w:t xml:space="preserve">bei </w:t>
      </w:r>
      <w:r w:rsidRPr="00515341">
        <w:rPr>
          <w:rFonts w:asciiTheme="majorHAnsi" w:hAnsiTheme="majorHAnsi" w:cstheme="majorHAnsi"/>
          <w:bCs/>
          <w:szCs w:val="24"/>
        </w:rPr>
        <w:t>Lietuvos Respublikos viešųjų pirkimų įstatymo</w:t>
      </w:r>
      <w:r w:rsidRPr="00515341">
        <w:rPr>
          <w:rFonts w:asciiTheme="majorHAnsi" w:hAnsiTheme="majorHAnsi" w:cstheme="majorHAnsi"/>
          <w:szCs w:val="24"/>
        </w:rPr>
        <w:t xml:space="preserve"> 37 straipsnio 9 dalies reikalavimams, susijusiems su nacionaliniu saugumu</w:t>
      </w:r>
      <w:r w:rsidR="00DA4A4C">
        <w:rPr>
          <w:rFonts w:asciiTheme="majorHAnsi" w:hAnsiTheme="majorHAnsi" w:cstheme="majorHAnsi"/>
          <w:szCs w:val="24"/>
        </w:rPr>
        <w:t xml:space="preserve"> </w:t>
      </w:r>
      <w:r w:rsidR="00DA4A4C" w:rsidRPr="00DA4A4C">
        <w:rPr>
          <w:rFonts w:asciiTheme="majorHAnsi" w:hAnsiTheme="majorHAnsi" w:cstheme="majorHAnsi"/>
          <w:szCs w:val="24"/>
        </w:rPr>
        <w:t>[jei taikoma]</w:t>
      </w:r>
      <w:r w:rsidRPr="00515341">
        <w:rPr>
          <w:rFonts w:asciiTheme="majorHAnsi" w:hAnsiTheme="majorHAnsi" w:cstheme="majorHAnsi"/>
          <w:szCs w:val="24"/>
        </w:rPr>
        <w:t>.</w:t>
      </w:r>
    </w:p>
    <w:p w14:paraId="171938D2" w14:textId="77777777" w:rsidR="00871A33" w:rsidRPr="00515341" w:rsidRDefault="00871A33" w:rsidP="00871A33">
      <w:pPr>
        <w:spacing w:before="60" w:after="60"/>
        <w:ind w:firstLine="567"/>
        <w:jc w:val="both"/>
        <w:rPr>
          <w:rFonts w:asciiTheme="majorHAnsi" w:hAnsiTheme="majorHAnsi" w:cstheme="majorHAnsi"/>
          <w:szCs w:val="24"/>
        </w:rPr>
      </w:pPr>
      <w:r w:rsidRPr="00515341">
        <w:rPr>
          <w:rFonts w:asciiTheme="majorHAnsi" w:hAnsiTheme="majorHAnsi" w:cstheme="majorHAnsi"/>
          <w:bCs/>
          <w:szCs w:val="24"/>
        </w:rPr>
        <w:t xml:space="preserve">2. </w:t>
      </w:r>
      <w:r w:rsidRPr="00515341">
        <w:rPr>
          <w:rFonts w:asciiTheme="majorHAnsi" w:hAnsiTheme="majorHAnsi" w:cstheme="majorHAnsi"/>
          <w:bCs/>
          <w:szCs w:val="24"/>
          <w:u w:val="single"/>
        </w:rPr>
        <w:t>Pirkimo objektui taikomi Lietuvos Respublikos viešųjų pirkimų įstatymo 37 str. 9 dalies reikalavimai susiję su nacionaliniu saugumu*.</w:t>
      </w:r>
      <w:r w:rsidRPr="00515341">
        <w:rPr>
          <w:rFonts w:asciiTheme="majorHAnsi" w:hAnsiTheme="majorHAnsi" w:cstheme="majorHAnsi"/>
          <w:b/>
          <w:szCs w:val="24"/>
          <w:u w:val="single"/>
        </w:rPr>
        <w:t xml:space="preserve"> </w:t>
      </w:r>
      <w:r w:rsidRPr="00515341">
        <w:rPr>
          <w:rFonts w:asciiTheme="majorHAnsi" w:hAnsiTheme="majorHAnsi" w:cstheme="majorHAnsi"/>
          <w:szCs w:val="24"/>
        </w:rPr>
        <w:t>Tiekėjas privalo įrodyti, kad siūlomos paslaugos nekelia grėsmės nacionaliniam saugumui - paslaugų teikimas nevykdomas iš VPĮ 92 straipsnio 14 dalyje numatytame sąraše nurodytų valstybių ar teritorijų.</w:t>
      </w:r>
    </w:p>
    <w:p w14:paraId="3DA58DF5" w14:textId="446C6E8E" w:rsidR="00871A33" w:rsidRPr="00515341" w:rsidRDefault="00871A33" w:rsidP="00871A33">
      <w:pPr>
        <w:spacing w:before="60" w:after="60"/>
        <w:ind w:firstLine="851"/>
        <w:jc w:val="both"/>
        <w:rPr>
          <w:rFonts w:asciiTheme="majorHAnsi" w:hAnsiTheme="majorHAnsi" w:cstheme="majorHAnsi"/>
          <w:bCs/>
          <w:szCs w:val="24"/>
        </w:rPr>
      </w:pPr>
      <w:r w:rsidRPr="00515341">
        <w:rPr>
          <w:rFonts w:asciiTheme="majorHAnsi" w:hAnsiTheme="majorHAnsi" w:cstheme="majorHAnsi"/>
          <w:bCs/>
          <w:szCs w:val="24"/>
        </w:rPr>
        <w:t>Perkančioji organizacija pasiūlymo atitikčiai LR viešųjų pirkimų įstatymo 37 straipsnio 9 dalies reikalavimams patvirtinti iš tiekėjo reikalauja  KARTU SU PASIŪLYMU PATEIKTI užpildytą pirkimo dokumentą „Nacionalinio saugumo reikalavimų atitikties deklaracija“ (</w:t>
      </w:r>
      <w:r w:rsidR="00814EAB">
        <w:rPr>
          <w:rFonts w:asciiTheme="majorHAnsi" w:hAnsiTheme="majorHAnsi" w:cstheme="majorHAnsi"/>
          <w:bCs/>
          <w:szCs w:val="24"/>
        </w:rPr>
        <w:t>6</w:t>
      </w:r>
      <w:r w:rsidRPr="00515341">
        <w:rPr>
          <w:rFonts w:asciiTheme="majorHAnsi" w:hAnsiTheme="majorHAnsi" w:cstheme="majorHAnsi"/>
          <w:bCs/>
          <w:szCs w:val="24"/>
        </w:rPr>
        <w:t xml:space="preserve"> IA PD </w:t>
      </w:r>
      <w:r w:rsidR="00C27386">
        <w:rPr>
          <w:rFonts w:asciiTheme="majorHAnsi" w:hAnsiTheme="majorHAnsi" w:cstheme="majorHAnsi"/>
          <w:bCs/>
          <w:szCs w:val="24"/>
        </w:rPr>
        <w:t>NSRAD</w:t>
      </w:r>
      <w:r w:rsidRPr="00515341">
        <w:rPr>
          <w:rFonts w:asciiTheme="majorHAnsi" w:hAnsiTheme="majorHAnsi" w:cstheme="majorHAnsi"/>
          <w:bCs/>
          <w:szCs w:val="24"/>
        </w:rPr>
        <w:t>), o iš ekonomiškai naudingiausią pasiūlymą pateikusio tiekėjo reikalaus pateikti (</w:t>
      </w:r>
      <w:r w:rsidRPr="00515341">
        <w:rPr>
          <w:rFonts w:asciiTheme="majorHAnsi" w:hAnsiTheme="majorHAnsi" w:cstheme="majorHAnsi"/>
          <w:bCs/>
          <w:szCs w:val="24"/>
          <w:u w:val="single"/>
        </w:rPr>
        <w:t>kartu su pasiūlymu šių dokumentų tiekėjas pateikti neturi</w:t>
      </w:r>
      <w:r w:rsidRPr="00515341">
        <w:rPr>
          <w:rFonts w:asciiTheme="majorHAnsi" w:hAnsiTheme="majorHAnsi" w:cstheme="majorHAnsi"/>
          <w:bCs/>
          <w:szCs w:val="24"/>
        </w:rPr>
        <w:t>)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1343B64A" w14:textId="77777777" w:rsidR="00871A33" w:rsidRPr="00515341" w:rsidRDefault="00871A33" w:rsidP="00871A33">
      <w:pPr>
        <w:spacing w:before="60" w:after="60"/>
        <w:ind w:firstLine="851"/>
        <w:jc w:val="both"/>
        <w:rPr>
          <w:rFonts w:asciiTheme="majorHAnsi" w:hAnsiTheme="majorHAnsi" w:cstheme="majorHAnsi"/>
          <w:bCs/>
          <w:szCs w:val="24"/>
        </w:rPr>
      </w:pPr>
      <w:r w:rsidRPr="00515341">
        <w:rPr>
          <w:rFonts w:asciiTheme="majorHAnsi" w:hAnsiTheme="majorHAnsi" w:cstheme="majorHAnsi"/>
          <w:bCs/>
          <w:szCs w:val="24"/>
        </w:rPr>
        <w:t>Pastabos:</w:t>
      </w:r>
    </w:p>
    <w:p w14:paraId="27B4F6E5" w14:textId="77777777" w:rsidR="00871A33" w:rsidRPr="00515341" w:rsidRDefault="00871A33" w:rsidP="00871A33">
      <w:pPr>
        <w:spacing w:before="60" w:after="60"/>
        <w:jc w:val="both"/>
        <w:rPr>
          <w:rFonts w:asciiTheme="majorHAnsi" w:hAnsiTheme="majorHAnsi" w:cstheme="majorHAnsi"/>
          <w:bCs/>
          <w:szCs w:val="24"/>
        </w:rPr>
      </w:pPr>
      <w:r w:rsidRPr="00515341">
        <w:rPr>
          <w:rFonts w:asciiTheme="majorHAnsi" w:hAnsiTheme="majorHAnsi" w:cstheme="majorHAnsi"/>
          <w:b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64708A01" w14:textId="77777777" w:rsidR="00871A33" w:rsidRPr="00515341" w:rsidRDefault="00871A33" w:rsidP="00871A33">
      <w:pPr>
        <w:spacing w:before="60" w:after="60"/>
        <w:jc w:val="both"/>
        <w:rPr>
          <w:rFonts w:asciiTheme="majorHAnsi" w:hAnsiTheme="majorHAnsi" w:cstheme="majorHAnsi"/>
          <w:szCs w:val="24"/>
        </w:rPr>
      </w:pPr>
      <w:r w:rsidRPr="00515341">
        <w:rPr>
          <w:rFonts w:asciiTheme="majorHAnsi" w:hAnsiTheme="majorHAnsi" w:cstheme="majorHAnsi"/>
          <w:bCs/>
          <w:szCs w:val="24"/>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r w:rsidRPr="00515341">
        <w:rPr>
          <w:rFonts w:asciiTheme="majorHAnsi" w:hAnsiTheme="majorHAnsi" w:cstheme="majorHAnsi"/>
          <w:szCs w:val="24"/>
        </w:rPr>
        <w:t>.</w:t>
      </w:r>
    </w:p>
    <w:p w14:paraId="45E66CBC" w14:textId="77777777" w:rsidR="00871A33" w:rsidRPr="00515341" w:rsidRDefault="00871A33" w:rsidP="00871A33">
      <w:pPr>
        <w:tabs>
          <w:tab w:val="left" w:pos="1335"/>
          <w:tab w:val="center" w:pos="5174"/>
        </w:tabs>
        <w:jc w:val="center"/>
        <w:rPr>
          <w:rFonts w:asciiTheme="majorHAnsi" w:hAnsiTheme="majorHAnsi" w:cstheme="majorHAnsi"/>
          <w:szCs w:val="24"/>
        </w:rPr>
      </w:pPr>
    </w:p>
    <w:p w14:paraId="33E63B65" w14:textId="77777777" w:rsidR="00871A33" w:rsidRPr="00515341" w:rsidRDefault="00871A33" w:rsidP="00871A33">
      <w:pPr>
        <w:numPr>
          <w:ilvl w:val="0"/>
          <w:numId w:val="3"/>
        </w:numPr>
        <w:suppressAutoHyphens w:val="0"/>
        <w:autoSpaceDN/>
        <w:spacing w:after="0" w:line="240" w:lineRule="auto"/>
        <w:jc w:val="center"/>
        <w:textAlignment w:val="auto"/>
        <w:rPr>
          <w:rFonts w:asciiTheme="majorHAnsi" w:hAnsiTheme="majorHAnsi" w:cstheme="majorHAnsi"/>
          <w:b/>
          <w:szCs w:val="24"/>
        </w:rPr>
      </w:pPr>
      <w:r w:rsidRPr="00515341">
        <w:rPr>
          <w:rFonts w:asciiTheme="majorHAnsi" w:hAnsiTheme="majorHAnsi" w:cstheme="majorHAnsi"/>
          <w:b/>
          <w:szCs w:val="24"/>
        </w:rPr>
        <w:t>INFORMACIJA APIE PIRKIMO KONTEKSTĄ</w:t>
      </w:r>
    </w:p>
    <w:p w14:paraId="22815607" w14:textId="77777777" w:rsidR="00871A33" w:rsidRPr="00515341" w:rsidRDefault="00871A33" w:rsidP="00871A33">
      <w:pPr>
        <w:jc w:val="center"/>
        <w:rPr>
          <w:rFonts w:asciiTheme="majorHAnsi" w:hAnsiTheme="majorHAnsi" w:cstheme="majorHAnsi"/>
          <w:szCs w:val="24"/>
        </w:rPr>
      </w:pPr>
    </w:p>
    <w:p w14:paraId="56CE1732"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Informatikos ir ryšių departamentas nuo 2019 m. yra įdiegęs ir sertifikavęs Informacijos saugos valdymo sistemą (toliau – ISVS). Išduotas sertifikatas Nr. TIC1512119119, patvirtinantis ISVS atitiktį standartui LST EN ISO/IEC 27001:2023, tapatus ISO/IEC 27001:2022, „Informacijos saugumas, kibernetinis saugumas ir privatumo apsauga. Informacijos saugumo valdymo sistemos. Reikalavimai“ galioja iki 2028 m. birželio 23 d.</w:t>
      </w:r>
    </w:p>
    <w:p w14:paraId="3B5CAC09"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ISVS taikymo sritis – informacinių technologijų ir telekomunikacinių paslaugų teikimas.</w:t>
      </w:r>
    </w:p>
    <w:p w14:paraId="6D40AB0F"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ISVS taikoma visai Informatikos ir ryšių departamento informacijai, nepriklausomai nuo jos formos ir saugojimo būdo, išskyrus įslaptintą, visiems procesams, visiems darbuotojams, fiziniams ir juridiniams asmenims, kuriems teisės aktų ar sutartinių santykių pagrindu yra suteikta prieiga prie Informatikos ir ryšių departamento informacijos ar informacijos apdorojimo priemonių, taip pat jų teikiamoms paslaugoms.</w:t>
      </w:r>
    </w:p>
    <w:p w14:paraId="64EF5DD3"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ISVS </w:t>
      </w:r>
      <w:r w:rsidRPr="00515341">
        <w:rPr>
          <w:rFonts w:asciiTheme="majorHAnsi" w:eastAsia="Aptos" w:hAnsiTheme="majorHAnsi" w:cstheme="majorHAnsi"/>
          <w:kern w:val="2"/>
          <w:sz w:val="24"/>
          <w:szCs w:val="24"/>
          <w:lang w:val="lt-LT"/>
          <w14:ligatures w14:val="standardContextual"/>
        </w:rPr>
        <w:t>taikomumo aprašas nurodo Informatikos ir ryšių departamento taikomas informacijos saugos kontrolės priemones pagal standarto LST EN ISO/IEC 27001:2023 „Informacijos saugumas, kibernetinis saugumas ir privatumo apsauga. Informacijos saugumo valdymo sistemos. Reikalavimai (ISO/IEC 27001:2022)“ A priedo reikalavimus. A priedo taikymo išimčių nėra</w:t>
      </w:r>
      <w:r w:rsidRPr="00515341">
        <w:rPr>
          <w:rFonts w:asciiTheme="majorHAnsi" w:hAnsiTheme="majorHAnsi" w:cstheme="majorHAnsi"/>
          <w:sz w:val="24"/>
          <w:szCs w:val="24"/>
          <w:lang w:val="lt-LT"/>
        </w:rPr>
        <w:t>.</w:t>
      </w:r>
    </w:p>
    <w:p w14:paraId="4DEF5FC3"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Pirkimas vykdomas siekiant atlikti ISVS veiklas laikantis </w:t>
      </w:r>
      <w:r w:rsidRPr="00515341">
        <w:rPr>
          <w:rFonts w:asciiTheme="majorHAnsi" w:eastAsia="Aptos" w:hAnsiTheme="majorHAnsi" w:cstheme="majorHAnsi"/>
          <w:kern w:val="2"/>
          <w:sz w:val="24"/>
          <w:szCs w:val="24"/>
          <w:lang w:val="lt-LT"/>
          <w14:ligatures w14:val="standardContextual"/>
        </w:rPr>
        <w:t xml:space="preserve">standarto LST EN ISO/IEC 27001:2023 </w:t>
      </w:r>
      <w:r w:rsidRPr="00515341">
        <w:rPr>
          <w:rFonts w:asciiTheme="majorHAnsi" w:hAnsiTheme="majorHAnsi" w:cstheme="majorHAnsi"/>
          <w:sz w:val="24"/>
          <w:szCs w:val="24"/>
          <w:lang w:val="lt-LT"/>
        </w:rPr>
        <w:t xml:space="preserve"> reikalavimų, tinkamai pasirengti kasmetiniams ISVS priežiūros auditams ir vykdyti teisės aktų nustatytą valstybės informacinių išteklių, informacinių sistemų ir tinklų, saugos bei kibernetinio saugumo politikos reikalavimų įgyvendinimo priežiūrą. </w:t>
      </w:r>
    </w:p>
    <w:p w14:paraId="73399C32"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Perkamos paslaugos yra tiesiogiai susijusios su Vidaus reikalų ministerijos ir Informatikos ir ryšių departamento valdomais ypatingos svarbos ir svarbiais valstybės informaciniais ištekliais.</w:t>
      </w:r>
    </w:p>
    <w:p w14:paraId="042A1AA3"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Informatikos ir ryšių departamentas ir Vidaus reikalų ministerija yra esminiai kibernetinio saugumo subjektai pagal Kibernetinio saugumo įstatymą.</w:t>
      </w:r>
    </w:p>
    <w:p w14:paraId="5E4C850D"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Informatikos ir ryšių departamento nuostatai, patvirtinti Lietuvos Respublikos vidaus reikalų ministro 2002 m. rugsėjo 13 d. įsakymu Nr. 439 „Dėl Informatikos ir ryšių departamento prie Lietuvos Respublikos vidaus reikalų ministerijos nuostatų patvirtinimo“, paskelbti </w:t>
      </w:r>
      <w:hyperlink r:id="rId5" w:history="1">
        <w:r w:rsidRPr="00515341">
          <w:rPr>
            <w:rStyle w:val="Hipersaitas"/>
            <w:rFonts w:asciiTheme="majorHAnsi" w:hAnsiTheme="majorHAnsi" w:cstheme="majorHAnsi"/>
            <w:sz w:val="24"/>
            <w:szCs w:val="24"/>
            <w:lang w:val="lt-LT"/>
          </w:rPr>
          <w:t>https://www.e-tar.lt/portal/lt/legalAct/TAR.49172C46C223/asr</w:t>
        </w:r>
      </w:hyperlink>
      <w:r w:rsidRPr="00515341">
        <w:rPr>
          <w:rFonts w:asciiTheme="majorHAnsi" w:hAnsiTheme="majorHAnsi" w:cstheme="majorHAnsi"/>
          <w:sz w:val="24"/>
          <w:szCs w:val="24"/>
          <w:lang w:val="lt-LT"/>
        </w:rPr>
        <w:t xml:space="preserve"> </w:t>
      </w:r>
    </w:p>
    <w:p w14:paraId="38993983"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Informacija apie Informatikos ir ryšių departamentą pateikiama </w:t>
      </w:r>
      <w:hyperlink r:id="rId6" w:history="1">
        <w:r w:rsidRPr="00515341">
          <w:rPr>
            <w:rFonts w:asciiTheme="majorHAnsi" w:hAnsiTheme="majorHAnsi" w:cstheme="majorHAnsi"/>
            <w:sz w:val="24"/>
            <w:szCs w:val="24"/>
            <w:u w:val="single"/>
            <w:lang w:val="lt-LT"/>
          </w:rPr>
          <w:t>https://ird.lrv.lt</w:t>
        </w:r>
      </w:hyperlink>
      <w:r w:rsidRPr="00515341">
        <w:rPr>
          <w:rFonts w:asciiTheme="majorHAnsi" w:hAnsiTheme="majorHAnsi" w:cstheme="majorHAnsi"/>
          <w:sz w:val="24"/>
          <w:szCs w:val="24"/>
          <w:lang w:val="lt-LT"/>
        </w:rPr>
        <w:t xml:space="preserve">, </w:t>
      </w:r>
      <w:hyperlink r:id="rId7" w:history="1">
        <w:r w:rsidRPr="00515341">
          <w:rPr>
            <w:rFonts w:asciiTheme="majorHAnsi" w:hAnsiTheme="majorHAnsi" w:cstheme="majorHAnsi"/>
            <w:sz w:val="24"/>
            <w:szCs w:val="24"/>
            <w:u w:val="single"/>
            <w:lang w:val="lt-LT"/>
          </w:rPr>
          <w:t>https://www.ird.lt/</w:t>
        </w:r>
      </w:hyperlink>
      <w:r w:rsidRPr="00515341">
        <w:rPr>
          <w:rFonts w:asciiTheme="majorHAnsi" w:hAnsiTheme="majorHAnsi" w:cstheme="majorHAnsi"/>
          <w:sz w:val="24"/>
          <w:szCs w:val="24"/>
          <w:lang w:val="lt-LT"/>
        </w:rPr>
        <w:t>.</w:t>
      </w:r>
    </w:p>
    <w:p w14:paraId="69401EBE" w14:textId="77777777" w:rsidR="00871A33" w:rsidRPr="00515341" w:rsidRDefault="00871A33" w:rsidP="00871A33">
      <w:pPr>
        <w:tabs>
          <w:tab w:val="left" w:pos="0"/>
        </w:tabs>
        <w:autoSpaceDE w:val="0"/>
        <w:adjustRightInd w:val="0"/>
        <w:ind w:right="-1"/>
        <w:jc w:val="center"/>
        <w:rPr>
          <w:rFonts w:asciiTheme="majorHAnsi" w:hAnsiTheme="majorHAnsi" w:cstheme="majorHAnsi"/>
          <w:szCs w:val="24"/>
        </w:rPr>
      </w:pPr>
    </w:p>
    <w:p w14:paraId="5BE85C27" w14:textId="77777777" w:rsidR="00871A33" w:rsidRPr="00515341" w:rsidRDefault="00871A33" w:rsidP="00871A33">
      <w:pPr>
        <w:numPr>
          <w:ilvl w:val="0"/>
          <w:numId w:val="3"/>
        </w:numPr>
        <w:suppressAutoHyphens w:val="0"/>
        <w:autoSpaceDN/>
        <w:spacing w:after="0" w:line="240" w:lineRule="auto"/>
        <w:ind w:left="0" w:firstLine="0"/>
        <w:jc w:val="center"/>
        <w:textAlignment w:val="auto"/>
        <w:rPr>
          <w:rFonts w:asciiTheme="majorHAnsi" w:hAnsiTheme="majorHAnsi" w:cstheme="majorHAnsi"/>
          <w:b/>
          <w:szCs w:val="24"/>
        </w:rPr>
      </w:pPr>
      <w:r w:rsidRPr="00515341">
        <w:rPr>
          <w:rFonts w:asciiTheme="majorHAnsi" w:hAnsiTheme="majorHAnsi" w:cstheme="majorHAnsi"/>
          <w:b/>
          <w:szCs w:val="24"/>
        </w:rPr>
        <w:t>PIRKIMO OBJEKTAS</w:t>
      </w:r>
    </w:p>
    <w:p w14:paraId="7C242B0B" w14:textId="77777777" w:rsidR="00871A33" w:rsidRPr="00515341" w:rsidRDefault="00871A33" w:rsidP="00871A33">
      <w:pPr>
        <w:jc w:val="center"/>
        <w:rPr>
          <w:rFonts w:asciiTheme="majorHAnsi" w:hAnsiTheme="majorHAnsi" w:cstheme="majorHAnsi"/>
          <w:szCs w:val="24"/>
        </w:rPr>
      </w:pPr>
    </w:p>
    <w:p w14:paraId="12942DE6"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Pirkimo objektą sudaro ISVS, informacinių sistemų ir registrų saugos vertinimo paslaugos (toliau – paslaugos).</w:t>
      </w:r>
    </w:p>
    <w:p w14:paraId="59B18F6B" w14:textId="77777777" w:rsidR="00871A33" w:rsidRPr="00515341" w:rsidRDefault="00871A33" w:rsidP="00871A33">
      <w:pPr>
        <w:pStyle w:val="Sraopastraipa"/>
        <w:tabs>
          <w:tab w:val="left" w:pos="0"/>
        </w:tabs>
        <w:autoSpaceDE w:val="0"/>
        <w:autoSpaceDN w:val="0"/>
        <w:adjustRightInd w:val="0"/>
        <w:spacing w:after="0" w:line="240" w:lineRule="auto"/>
        <w:ind w:left="0" w:right="-1"/>
        <w:jc w:val="center"/>
        <w:rPr>
          <w:rFonts w:asciiTheme="majorHAnsi" w:hAnsiTheme="majorHAnsi" w:cstheme="majorHAnsi"/>
          <w:sz w:val="24"/>
          <w:szCs w:val="24"/>
          <w:lang w:val="lt-LT"/>
        </w:rPr>
      </w:pPr>
    </w:p>
    <w:p w14:paraId="0BD7E4ED" w14:textId="77777777" w:rsidR="00871A33" w:rsidRPr="00515341" w:rsidRDefault="00871A33" w:rsidP="00871A33">
      <w:pPr>
        <w:numPr>
          <w:ilvl w:val="0"/>
          <w:numId w:val="3"/>
        </w:numPr>
        <w:suppressAutoHyphens w:val="0"/>
        <w:autoSpaceDN/>
        <w:spacing w:after="0" w:line="240" w:lineRule="auto"/>
        <w:ind w:left="0" w:firstLine="0"/>
        <w:jc w:val="center"/>
        <w:textAlignment w:val="auto"/>
        <w:rPr>
          <w:rFonts w:asciiTheme="majorHAnsi" w:hAnsiTheme="majorHAnsi" w:cstheme="majorHAnsi"/>
          <w:b/>
          <w:szCs w:val="24"/>
        </w:rPr>
      </w:pPr>
      <w:bookmarkStart w:id="0" w:name="_Toc358143436"/>
      <w:bookmarkStart w:id="1" w:name="_Toc338701283"/>
      <w:r w:rsidRPr="00515341">
        <w:rPr>
          <w:rFonts w:asciiTheme="majorHAnsi" w:hAnsiTheme="majorHAnsi" w:cstheme="majorHAnsi"/>
          <w:b/>
          <w:szCs w:val="24"/>
        </w:rPr>
        <w:lastRenderedPageBreak/>
        <w:t>PASLAUGŲ SUTEIKIMO TERMINAI</w:t>
      </w:r>
      <w:bookmarkEnd w:id="0"/>
    </w:p>
    <w:p w14:paraId="7475FE88" w14:textId="77777777" w:rsidR="00871A33" w:rsidRPr="00515341" w:rsidRDefault="00871A33" w:rsidP="00871A33">
      <w:pPr>
        <w:jc w:val="center"/>
        <w:rPr>
          <w:rFonts w:asciiTheme="majorHAnsi" w:hAnsiTheme="majorHAnsi" w:cstheme="majorHAnsi"/>
          <w:szCs w:val="24"/>
        </w:rPr>
      </w:pPr>
    </w:p>
    <w:bookmarkEnd w:id="1"/>
    <w:p w14:paraId="6DB2AE93" w14:textId="5EBF949A"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Bendra paslaugų teikimo trukmė (laikotarpis, kurio metu gali būti užsakomos paslaugos) – 12 mėn. nuo sutarties įsigaliojimo dienos. Sutartis gali būti pratęsta ne daugiau, kaip 2 kartus tomis pačiomis sąlygomis. Vieno pratęsimo trukmė – 12 mėnesių.</w:t>
      </w:r>
    </w:p>
    <w:p w14:paraId="7AE03150"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Paslaugų suteikimo terminas negali būti ilgesnis kaip 3 (trys) mėnesiai nuo paraiškos dienos, nepriklausomai nuo užsakytų paslaugų skaičiaus.</w:t>
      </w:r>
    </w:p>
    <w:p w14:paraId="05D0CA45"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Paslaugos užsakomos pagal Informatikos ir ryšių departamento poreikį, atsižvelgiant į asignavimų valdytojo skirtą finansavimą ir taikant Paslaugų teikėjo pasiūlyme nurodytus įkainius. Paraiškoje gali būti užsakytos visos ar kelios paslaugos, nurodytos 17 punkte.</w:t>
      </w:r>
    </w:p>
    <w:p w14:paraId="35EC6473"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Perkančioji organizacija pateikia Paslaugų teikėjui paslaugų užsakymo paraišką raštu. </w:t>
      </w:r>
    </w:p>
    <w:p w14:paraId="48D67023"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Ne vėliau kaip per 5 (penkias) darbo dienas nuo paslaugų užsakymo paraiškos gavimo Paslaugų teikėjas turi parengti detalų užsakytų paslaugų teikimo ir darbų atlikimo kalendorinį grafiką (toliau – paslaugų planas).</w:t>
      </w:r>
    </w:p>
    <w:p w14:paraId="6598B8D1"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Per 5 (penkias) darbo dienas nuo paslaugų plano pateikimo Paslaugų teikėjo ir Perkančiosios organizacijos atsakingi asmenys suderina paslaugų planą.</w:t>
      </w:r>
    </w:p>
    <w:p w14:paraId="2EF71C6B" w14:textId="77777777" w:rsidR="00871A33" w:rsidRPr="00515341" w:rsidRDefault="00871A33" w:rsidP="00871A33">
      <w:pPr>
        <w:jc w:val="center"/>
        <w:rPr>
          <w:rFonts w:asciiTheme="majorHAnsi" w:hAnsiTheme="majorHAnsi" w:cstheme="majorHAnsi"/>
          <w:szCs w:val="24"/>
        </w:rPr>
      </w:pPr>
    </w:p>
    <w:p w14:paraId="5909FD53" w14:textId="77777777" w:rsidR="00871A33" w:rsidRPr="00515341" w:rsidRDefault="00871A33" w:rsidP="00871A33">
      <w:pPr>
        <w:numPr>
          <w:ilvl w:val="0"/>
          <w:numId w:val="3"/>
        </w:numPr>
        <w:suppressAutoHyphens w:val="0"/>
        <w:autoSpaceDN/>
        <w:spacing w:after="0" w:line="240" w:lineRule="auto"/>
        <w:ind w:left="0" w:firstLine="0"/>
        <w:jc w:val="center"/>
        <w:textAlignment w:val="auto"/>
        <w:rPr>
          <w:rFonts w:asciiTheme="majorHAnsi" w:hAnsiTheme="majorHAnsi" w:cstheme="majorHAnsi"/>
          <w:b/>
          <w:szCs w:val="24"/>
        </w:rPr>
      </w:pPr>
      <w:r w:rsidRPr="00515341">
        <w:rPr>
          <w:rFonts w:asciiTheme="majorHAnsi" w:hAnsiTheme="majorHAnsi" w:cstheme="majorHAnsi"/>
          <w:b/>
          <w:szCs w:val="24"/>
        </w:rPr>
        <w:t>PASLAUGŲ APIMTYS IR REIKALAVIMAI</w:t>
      </w:r>
    </w:p>
    <w:p w14:paraId="6F484BCA" w14:textId="77777777" w:rsidR="00871A33" w:rsidRPr="00515341" w:rsidRDefault="00871A33" w:rsidP="00871A33">
      <w:pPr>
        <w:jc w:val="center"/>
        <w:rPr>
          <w:rFonts w:asciiTheme="majorHAnsi" w:hAnsiTheme="majorHAnsi" w:cstheme="majorHAnsi"/>
          <w:szCs w:val="24"/>
        </w:rPr>
      </w:pPr>
    </w:p>
    <w:p w14:paraId="43908123"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Užsakomos tokios saugos vertinimo paslaugos:</w:t>
      </w:r>
    </w:p>
    <w:p w14:paraId="19B70631"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ISVS vidaus auditas;</w:t>
      </w:r>
    </w:p>
    <w:p w14:paraId="1D753D8D"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atitikties teisės aktų nustatytiems reikalavimams vertinimas (toliau – atitikties vertinimas);</w:t>
      </w:r>
    </w:p>
    <w:p w14:paraId="35C70318" w14:textId="0FB8BF4E"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informacinių išteklių, įeinančių į ISVS apimtį, rizikos vertinimas (toliau – rizikos vertinimas)</w:t>
      </w:r>
      <w:r w:rsidR="00C47A1A">
        <w:rPr>
          <w:rFonts w:asciiTheme="majorHAnsi" w:hAnsiTheme="majorHAnsi" w:cstheme="majorHAnsi"/>
          <w:sz w:val="24"/>
          <w:szCs w:val="24"/>
          <w:lang w:val="lt-LT"/>
        </w:rPr>
        <w:t>.</w:t>
      </w:r>
    </w:p>
    <w:p w14:paraId="2ECE8464" w14:textId="3D8FBD12" w:rsidR="00871A33" w:rsidRPr="00515341" w:rsidRDefault="000621EB"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Maksimalus</w:t>
      </w:r>
      <w:r w:rsidR="00871A33" w:rsidRPr="00515341">
        <w:rPr>
          <w:rFonts w:asciiTheme="majorHAnsi" w:hAnsiTheme="majorHAnsi" w:cstheme="majorHAnsi"/>
          <w:sz w:val="24"/>
          <w:szCs w:val="24"/>
          <w:lang w:val="lt-LT"/>
        </w:rPr>
        <w:t xml:space="preserve"> paslaugų kiekis yra kiekviena iš 17 punkte išvardintų paslaugų vieną kartą per metus.</w:t>
      </w:r>
    </w:p>
    <w:p w14:paraId="43B9AD8B"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Atitikties vertinimo apimtis: </w:t>
      </w:r>
    </w:p>
    <w:p w14:paraId="454396B2"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vertinimo objektai:</w:t>
      </w:r>
    </w:p>
    <w:p w14:paraId="4CF90567"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registrų informacinės sistemos ir valstybės informacinės sistemos, nurodytos Informatikos ir ryšių departamento prie Lietuvos Respublikos vidaus reikalų ministerijos nuostatų priede, Įtariamųjų, kaltinamųjų ir nuteistųjų registras, kurio nuostatai patvirtinti Lietuvos Respublikos Vyriausybės 2012 m. balandžio 18 d. nutarimu Nr. 435 „Dėl Įtariamųjų, kaltinamųjų ir nuteistųjų registro nuostatų patvirtinimo“ ir  Vidaus reikalų telekomunikacinis tinklas, kurio nuostatai patvirtinti Lietuvos Respublikos vidaus reikalų ministro 2006 m. spalio 13 d. įsakymu Nr. 1V-388 „Dėl Vidaus reikalų telekomunikacinio tinklo nuostatų ir Vidaus reikalų telekomunikacinio tinklo administravimo ir plėtros taisyklių patvirtinimo“ (kai reikalavimo objektas yra tinklo ir informacinė sistema);</w:t>
      </w:r>
    </w:p>
    <w:p w14:paraId="085118FD"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Informatikos ir ryšių departamentas (kai reikalavimo objektas yra kibernetinio saugumo subjektas).</w:t>
      </w:r>
    </w:p>
    <w:p w14:paraId="2A3849D9"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vertinama atitiktis šiems teisės aktams:</w:t>
      </w:r>
    </w:p>
    <w:p w14:paraId="4C75DC8D"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Lietuvos Respublikos kibernetinio saugumo įstatymas;</w:t>
      </w:r>
    </w:p>
    <w:p w14:paraId="609AFB71"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lastRenderedPageBreak/>
        <w:t>Kibernetinio saugumo reikalavimų aprašas, patvirtintas Lietuvos Respublikos Vyriausybės 2018 m. rugpjūčio 13 d. nutarimu Nr. 818 „Dėl Lietuvos Respublikos kibernetinio saugumo įstatymo įgyvendinimo“;</w:t>
      </w:r>
    </w:p>
    <w:p w14:paraId="34ACFF4F"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Informatikos ir ryšių departamento ISVS nuostatai  ir kiti Informatikos ir ryšių departamento kibernetinio saugumo politikos dokumentai;</w:t>
      </w:r>
    </w:p>
    <w:p w14:paraId="6BCB4AB2"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kiti Lietuvos Respublikos teisės aktai, nustatantys kibernetinio saugumo reikalavimus, taikomus ir Vidaus reikalų ministerijai ar Informatikos ir ryšių departamentui, įsigalioję paslaugų pirkimo ir sutarties galiojimo metu.</w:t>
      </w:r>
    </w:p>
    <w:p w14:paraId="70FD7610"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vertinimo aspektai:</w:t>
      </w:r>
    </w:p>
    <w:p w14:paraId="46A73721"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19.2 papunktyje nurodytų teisės aktų reikalavimų įgyvendinimas 19.1 papunktyje nurodytų objektų saugą reglamentuojančiuose dokumentuose;</w:t>
      </w:r>
    </w:p>
    <w:p w14:paraId="17FAB572"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objektyviai nustatomas faktinis 19.2 papunktyje nurodytų teisės aktų reikalavimų įgyvendinimas praktikoje, pateikiant įrodymus.</w:t>
      </w:r>
    </w:p>
    <w:p w14:paraId="080FA2B2"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Informacinių išteklių, įeinančių į ISVS apimtį, rizikos vertinimo (toliau – Rizikos vertinimas) apimtis:</w:t>
      </w:r>
    </w:p>
    <w:p w14:paraId="5AE136B1"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Rizikos vertinimas apima visus informacinius išteklius, įeinančius į Informatikos ir ryšių departamento ISVS apimtį ir jų veikimui būtiną techninę bei programinę įrangą bei paslaugas. </w:t>
      </w:r>
    </w:p>
    <w:p w14:paraId="0CFC0EB4"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Rizikos vertinimas turi būti atliktas naudojant Informatikos ir ryšių departamento nustatytą informacijos saugos rizikos vertinimo metodiką bei metrikas ir atsižvelgiant į Krašto apsaugos ministerijos rekomenduojamas rizikos vertinimo metodiką bei metrikas. </w:t>
      </w:r>
    </w:p>
    <w:p w14:paraId="3CCCC02B"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Siekiant užtikrinti rizikos vertinimo proceso tęstinumą, paslaugų teikėjas turi atsižvelgti į paskutinio atlikto rizikos vertinimo objektus ir rezultatus.</w:t>
      </w:r>
    </w:p>
    <w:p w14:paraId="15F514FB"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Detalaus vertinamų objektų sąrašo sudarymas ir jo suderinimas su perkančiąja organizacija turi būti atliktas prieš pradedant vertinimą. </w:t>
      </w:r>
    </w:p>
    <w:p w14:paraId="76328F1D"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Vertinant grėsmes, susijusias su trečiosiomis šalimis, turi būti atliktas Informatikos ir ryšių departamento nurodytų trečiųjų šalių (Informatikos ir ryšių departamento paslaugų teikėjų ir kt.) rizikos vertinimas.</w:t>
      </w:r>
    </w:p>
    <w:p w14:paraId="0CA932A4"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Rizikos vertinimas turi būti atliktas šiais etapais:</w:t>
      </w:r>
    </w:p>
    <w:p w14:paraId="52086EA8"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Vertinimo objektų (valstybės informacinių sistemų, registrų informacinių sistemų, kitų informacinių sistemų ir išteklių, tinklo išteklių, paslaugų, infrastruktūros komponentų ir kt.) sąrašo sudarymas.</w:t>
      </w:r>
    </w:p>
    <w:p w14:paraId="2889FBE6"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Grėsmių sąsajų su vertinimo objektais nustatymas, rizikų registro sudarymas;</w:t>
      </w:r>
    </w:p>
    <w:p w14:paraId="50916A5D"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Galimų spragų, pažeidžiamumų, leidžiančių pasireikšti grėsmėms nustatymas, pažeidžiamumų išnaudojimo scenarijų sudarymas ir vertinimas;</w:t>
      </w:r>
    </w:p>
    <w:p w14:paraId="75AA5A62"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Grėsmių, kylančių pasinaudojant spragomis, tikimybės ir galimos žalos vertinimo objektams vertinimas;</w:t>
      </w:r>
    </w:p>
    <w:p w14:paraId="235A5152"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Esamų rizikos valdymo priemonių įvertinimas;</w:t>
      </w:r>
    </w:p>
    <w:p w14:paraId="5AEE8A08"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Rizikos lygio ir priimtinumo nustatymas;</w:t>
      </w:r>
    </w:p>
    <w:p w14:paraId="0C324D8B"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Rekomendacijų dėl papildomų rizikos valdymo priemonių pateikimas, likutinės rizikos apskaičiavimas;</w:t>
      </w:r>
    </w:p>
    <w:p w14:paraId="00D591E9"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Rizikų valdymo plano projekto, įskaitant išteklių poreikį papildomų priemonių įgyvendinimui, sudarymas;</w:t>
      </w:r>
    </w:p>
    <w:p w14:paraId="1C4B44E7"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lastRenderedPageBreak/>
        <w:t>Rekomendacijų rizikos vertinimo ir rizikos valdymo procesams bei jų įgyvendinimui pateikimas;</w:t>
      </w:r>
    </w:p>
    <w:p w14:paraId="0E9F20AC"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Rizikos vertinimo ataskaitos, apimančios visus vertinimo eigoje surinktus tarpinius duomenis, parengimas, šios ataskaitos ir rizikų registro suderinimas ir pateikimas.</w:t>
      </w:r>
    </w:p>
    <w:p w14:paraId="09B521CB"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ISVS vidaus audito apimtis yra patikrinti:</w:t>
      </w:r>
    </w:p>
    <w:p w14:paraId="04DE2687"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ar laikomasi standartų </w:t>
      </w:r>
      <w:r w:rsidRPr="00515341">
        <w:rPr>
          <w:rFonts w:asciiTheme="majorHAnsi" w:eastAsia="Aptos" w:hAnsiTheme="majorHAnsi" w:cstheme="majorHAnsi"/>
          <w:kern w:val="2"/>
          <w:sz w:val="24"/>
          <w:szCs w:val="24"/>
          <w:lang w:val="lt-LT"/>
          <w14:ligatures w14:val="standardContextual"/>
        </w:rPr>
        <w:t xml:space="preserve">LST EN ISO/IEC 27001:2023 ir LST EN ISO/IEC 27002:2023 </w:t>
      </w:r>
      <w:r w:rsidRPr="00515341">
        <w:rPr>
          <w:rFonts w:asciiTheme="majorHAnsi" w:hAnsiTheme="majorHAnsi" w:cstheme="majorHAnsi"/>
          <w:sz w:val="24"/>
          <w:szCs w:val="24"/>
          <w:lang w:val="lt-LT"/>
        </w:rPr>
        <w:t>reikalavimų;</w:t>
      </w:r>
    </w:p>
    <w:p w14:paraId="5978C698"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ar tinkamai dokumentuotos, faktiškai įgyvendintos ir efektyviai veikia visos ISVS taikomumo pareiškime nurodytos priemonės;</w:t>
      </w:r>
    </w:p>
    <w:p w14:paraId="0967AA99"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ar laikomasi teisės aktų, reglamentuojančių informacijos saugą ir kibernetinį saugumą, reikalavimų;</w:t>
      </w:r>
    </w:p>
    <w:p w14:paraId="690864A1"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ar laikomasi ISVS nuostatų nustatytos informacijos saugos politikos, informacijos saugos reikalavimų; </w:t>
      </w:r>
    </w:p>
    <w:p w14:paraId="02096569"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ar procesai atliekami laikantis veiklos procedūrose aprašytos tvarkos;</w:t>
      </w:r>
    </w:p>
    <w:p w14:paraId="3D84165B"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ar tinkamai planuojamos, atliekamos ir kontroliuojamos Informatikos ir ryšių departamento veiklos;</w:t>
      </w:r>
    </w:p>
    <w:p w14:paraId="0F5A7728"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ar tinkamai valdomi ISVS dokumentai.</w:t>
      </w:r>
    </w:p>
    <w:p w14:paraId="1C99F8B3" w14:textId="77777777" w:rsidR="00871A33" w:rsidRPr="00515341" w:rsidRDefault="00871A33" w:rsidP="00871A33">
      <w:pPr>
        <w:pStyle w:val="Sraopastraipa"/>
        <w:numPr>
          <w:ilvl w:val="0"/>
          <w:numId w:val="2"/>
        </w:numPr>
        <w:tabs>
          <w:tab w:val="left" w:pos="0"/>
          <w:tab w:val="left" w:pos="1418"/>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Paslaugos turi būti suteiktos vadovaujantis šiais teisės aktais ir standartais:</w:t>
      </w:r>
    </w:p>
    <w:p w14:paraId="59E6A339"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Informatikos ir ryšių departamento prie Lietuvos Respublikos vidaus reikalų ministerijos informacijos saugos valdymo sistemos vidaus audito procedūros aprašu (toliau – vidaus audito procedūros aprašas), patvirtintu Informatikos ir ryšių departamento prie Lietuvos Respublikos vidaus reikalų ministerijos direktoriaus 2019 m. balandžio 4 d. įsakymu 5V-37 „Dėl Informatikos ir ryšių departamento prie Lietuvos Respublikos vidaus reikalų ministerijos informacijos saugos valdymo sistemos procedūrų patvirtinimo“;</w:t>
      </w:r>
    </w:p>
    <w:p w14:paraId="0010A464"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standartu </w:t>
      </w:r>
      <w:r w:rsidRPr="00515341">
        <w:rPr>
          <w:rFonts w:asciiTheme="majorHAnsi" w:eastAsia="Aptos" w:hAnsiTheme="majorHAnsi" w:cstheme="majorHAnsi"/>
          <w:kern w:val="2"/>
          <w:sz w:val="24"/>
          <w:szCs w:val="24"/>
          <w:lang w:val="lt-LT"/>
          <w14:ligatures w14:val="standardContextual"/>
        </w:rPr>
        <w:t>LST EN ISO/IEC 27001:2023</w:t>
      </w:r>
      <w:r w:rsidRPr="00515341">
        <w:rPr>
          <w:rFonts w:asciiTheme="majorHAnsi" w:hAnsiTheme="majorHAnsi" w:cstheme="majorHAnsi"/>
          <w:sz w:val="24"/>
          <w:szCs w:val="24"/>
          <w:lang w:val="lt-LT"/>
        </w:rPr>
        <w:t>;</w:t>
      </w:r>
    </w:p>
    <w:p w14:paraId="197F4C46"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Informacinių technologijų saugos atitikties vertinimo metodika, patvirtinta Lietuvos Respublikos krašto apsaugos ministro 2020 m. gruodžio 4 d. įsakymu Nr. V-941 „Dėl Informacinių technologijų saugos atitikties vertinimo metodikos patvirtinimo“;</w:t>
      </w:r>
    </w:p>
    <w:p w14:paraId="439DD8E5"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Kibernetinio saugumo audito atlikimo metodika, patvirtinta Nacionalinio kibernetinio saugumo centro prie Lietuvos Respublikos krašto apsaugos ministerijos direktoriaus.</w:t>
      </w:r>
    </w:p>
    <w:p w14:paraId="1996AAEB"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Paslaugų teikėjas, suteikęs paslaugas, turės pateikti:</w:t>
      </w:r>
    </w:p>
    <w:p w14:paraId="4427C5F3"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atlikus atitikties vertinimą:</w:t>
      </w:r>
    </w:p>
    <w:p w14:paraId="44E1C72E"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atitikties vertinimo ataskaitą, kurioje turi būti apibūdinta faktinė atitikties kiekvienam tikrintam reikalavimui būklė, neatkartojant pažodžiui reikalavimo teksto, detalizuota pagal vertinimo objektus, kai tą nurodo reikalavimo pobūdis ir pateikiant atitikties ar neatitikties faktinius įrodymus.</w:t>
      </w:r>
    </w:p>
    <w:p w14:paraId="24A309A0"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atlikus informacinių išteklių, įeinančių į ISVS apimtį, rizikos vertinimą:</w:t>
      </w:r>
    </w:p>
    <w:p w14:paraId="1DB517C5"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informacinių išteklių, įeinančių į Informatikos ir ryšių departamento ISVS apimtį, rizikos vertinimo ataskaitą, apimančią visą rizikos vertinimo procesą ir jo eigoje gautus duomenis;</w:t>
      </w:r>
    </w:p>
    <w:p w14:paraId="475D8F79"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rizikų registrą;</w:t>
      </w:r>
    </w:p>
    <w:p w14:paraId="6B55E38E"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atlikus ISVS vidaus auditą:</w:t>
      </w:r>
    </w:p>
    <w:p w14:paraId="5907AD2E" w14:textId="77777777" w:rsidR="00871A33" w:rsidRPr="00515341" w:rsidRDefault="00871A33" w:rsidP="00871A33">
      <w:pPr>
        <w:pStyle w:val="Sraopastraipa"/>
        <w:numPr>
          <w:ilvl w:val="2"/>
          <w:numId w:val="2"/>
        </w:numPr>
        <w:tabs>
          <w:tab w:val="left" w:pos="0"/>
          <w:tab w:val="left" w:pos="156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dokumentus, nurodytus vidaus audito procedūros apraše.</w:t>
      </w:r>
    </w:p>
    <w:p w14:paraId="168B9B73"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Atlikus 17 punkte nurodytus auditą ir vertinimus, parengia identifikuotų neatitikčių, trūkumų (jei nustatyta) šalinimo ir rekomendacijų įgyvendinimo planą, kuriame nurodomos audito ir vertinimų ataskaitose pateiktos išvados, siūlomos priemonės neatitiktims, trūkumams pašalinti ir rekomendacijoms </w:t>
      </w:r>
      <w:r w:rsidRPr="00515341">
        <w:rPr>
          <w:rFonts w:asciiTheme="majorHAnsi" w:hAnsiTheme="majorHAnsi" w:cstheme="majorHAnsi"/>
          <w:sz w:val="24"/>
          <w:szCs w:val="24"/>
          <w:lang w:val="lt-LT"/>
        </w:rPr>
        <w:lastRenderedPageBreak/>
        <w:t xml:space="preserve">įgyvendinti, atsakingi Informatikos ir ryšių departamento skyriai (vykdytojai), įgyvendinimo terminai ir reikalingi ištekliai. </w:t>
      </w:r>
    </w:p>
    <w:p w14:paraId="04D7472C"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23 punkte nurodytų dokumentų formą paslaugų teikėjas turės suderinti su Informatikos ir ryšių departamentu.</w:t>
      </w:r>
    </w:p>
    <w:p w14:paraId="51D225E5"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Visų pateikiamų dokumentų projektus paslaugų teikėjas turės pristatyti Informatikos ir ryšių departamento Informacijos saugos valdymo grupės (toliau – ISVG) posėdyje (posėdžiuose). Visų pateikiamų dokumentų projektus paslaugų teikėjas turės suderinti su Informatikos ir ryšių departamentu. Pateiktų dokumentų projektus Informatikos ir ryšių departamentas įvertins ne vėliau kaip per 10 darbo dienų nuo pateikimo dienos, pakartotinai pateiktus patikslintus projektus – ne vėliau kaip per 5 darbo dienas. Paslaugų teikėjas dokumentų projektus pagal pateiktas pastabas turės patikslinti ne vėliau kaip per 5 darbo dienas.</w:t>
      </w:r>
    </w:p>
    <w:p w14:paraId="0604A3E7"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Paslaugų teikėjas turės pateikti visus duomenis, susijusius su teikiamomis paslaugomis, teisės aktų reikalaujamus pateikti į Kibernetinio saugumo informacinę sistemą (KSIS). Paslaugų teikėjas atsako už šių duomenų kokybę, išsamumą, neprieštaringumą ir užtikrina nustatytų klaidų duomenyse ištaisymą. Informatikos ir ryšių departamentas tarpininkaus bendradarbiaujant su kibernetinio saugumo institucijomis dėl duomenų parengimo ir pateikimo.</w:t>
      </w:r>
    </w:p>
    <w:p w14:paraId="7B1082FF"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Paslaugos teikiamos ir visi dokumentai parengiami lietuvių kalba. Jei paslaugų teikimui ir dokumentų parengimui reikalingas vertimas, jį savo sąskaita užtikrina paslaugų teikėjas. </w:t>
      </w:r>
    </w:p>
    <w:p w14:paraId="437E65AD"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Pateikti dokumentai turi atitikti lietuvių bendrinės kalbos ir teisinės technikos reikalavimus. Prireikus prie informacinių technologijų terminų turi būti nurodomas jų atitikmuo anglų kalba.</w:t>
      </w:r>
    </w:p>
    <w:p w14:paraId="630F6D32"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Paslaugų teikimą vykdo paslaugų teikėjo specialistai, kurių kvalifikacija grindžiama atitiktis paslaugų kvalifikaciniams reikalavimams. Paslaugų teikėjui leidžiama pasitelkti pagalbinius darbuotojus techninio pobūdžio veiksmams atlikti, gavus raštišką Informatikos ir ryšių departamento pritarimą. Šie darbuotojai turi teisę dirbti tik betarpiškai dalyvaujant specialistams, jiems draudžiama pavesti atlikti esmines užduotis, susijusias su paslaugų teikimu.</w:t>
      </w:r>
    </w:p>
    <w:p w14:paraId="61DCFEB7" w14:textId="77777777" w:rsidR="00871A33" w:rsidRPr="00515341" w:rsidRDefault="00871A33" w:rsidP="00871A33">
      <w:pPr>
        <w:pStyle w:val="Sraopastraipa"/>
        <w:tabs>
          <w:tab w:val="left" w:pos="0"/>
        </w:tabs>
        <w:autoSpaceDE w:val="0"/>
        <w:autoSpaceDN w:val="0"/>
        <w:adjustRightInd w:val="0"/>
        <w:spacing w:after="0" w:line="276" w:lineRule="auto"/>
        <w:ind w:left="709" w:right="-1"/>
        <w:rPr>
          <w:rFonts w:asciiTheme="majorHAnsi" w:hAnsiTheme="majorHAnsi" w:cstheme="majorHAnsi"/>
          <w:sz w:val="24"/>
          <w:szCs w:val="24"/>
          <w:lang w:val="lt-LT"/>
        </w:rPr>
      </w:pPr>
    </w:p>
    <w:p w14:paraId="76248D5E" w14:textId="77777777" w:rsidR="00871A33" w:rsidRPr="00515341" w:rsidRDefault="00871A33" w:rsidP="00871A33">
      <w:pPr>
        <w:numPr>
          <w:ilvl w:val="0"/>
          <w:numId w:val="3"/>
        </w:numPr>
        <w:suppressAutoHyphens w:val="0"/>
        <w:autoSpaceDN/>
        <w:spacing w:after="0" w:line="240" w:lineRule="auto"/>
        <w:ind w:left="0" w:firstLine="0"/>
        <w:jc w:val="center"/>
        <w:textAlignment w:val="auto"/>
        <w:rPr>
          <w:rFonts w:asciiTheme="majorHAnsi" w:hAnsiTheme="majorHAnsi" w:cstheme="majorHAnsi"/>
          <w:b/>
          <w:szCs w:val="24"/>
        </w:rPr>
      </w:pPr>
      <w:r w:rsidRPr="00515341">
        <w:rPr>
          <w:rFonts w:asciiTheme="majorHAnsi" w:hAnsiTheme="majorHAnsi" w:cstheme="majorHAnsi"/>
          <w:b/>
          <w:szCs w:val="24"/>
        </w:rPr>
        <w:t>KIBERNETINIO SAUGUMO REIKALAVIMAI</w:t>
      </w:r>
    </w:p>
    <w:p w14:paraId="735035A6" w14:textId="77777777" w:rsidR="00871A33" w:rsidRPr="00515341" w:rsidRDefault="00871A33" w:rsidP="00871A33">
      <w:pPr>
        <w:rPr>
          <w:rFonts w:asciiTheme="majorHAnsi" w:hAnsiTheme="majorHAnsi" w:cstheme="majorHAnsi"/>
          <w:b/>
          <w:szCs w:val="24"/>
        </w:rPr>
      </w:pPr>
    </w:p>
    <w:p w14:paraId="67270DB9"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Perkančioji organizacija arba perkančiosios organizacijos pasitelktas paslaugų teikėjas pagal poreikį turi teisę tikrinti, ar tiekėjas, jungtinės veiklos partneriai, subtiekėjai ir ūkio subjektai, kurių pajėgumais remiamasi, bei jų darbuotojai tinkamai, vadovaudamiesi sutarties sąlygomis ir teisės aktų, reglamentuojančių konfidencialios informacijos tvarkymą, reikalavimais, naudoja konfidencialią informaciją, gautą vykdant sutartį, o tiekėjas privalo teikti perkančiajai organizacijai visą informaciją, reikalingą, įsitikinti, kad visi konfidencialios informacijos naudojimo įsipareigojimai tinkamai vykdomi. </w:t>
      </w:r>
    </w:p>
    <w:p w14:paraId="60466C1D"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Paslaugų tiekėjas privalo atlikti šiuos veiksmus ir pranešti apie kibernetinį incidentą, įvykusį jo tinklų ir informacinių sistemų infrastruktūroje, perkančiajai organizacijai šiais terminais ir nurodyti tokią informaciją: </w:t>
      </w:r>
    </w:p>
    <w:p w14:paraId="08AE82AF"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nedelsiant, bet ne vėliau kaip per 24 valandas nuo sužinojimo apie didelį kibernetinį incidentą momento – pateikti ankstyvąjį perspėjimą, kuriame pagal galimybes nurodoma, ar didelį kibernetinį incidentą, kaip įtariama, sukėlė neteisėti ar piktavališki veiksmai, ar jis galėtų daryti tarpvalstybinį poveikį ir ar jis galėtų daryti poveikį perkančiosios organizacijos tinklams ir informacinėms sistemoms; </w:t>
      </w:r>
    </w:p>
    <w:p w14:paraId="29D82780"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lastRenderedPageBreak/>
        <w:t xml:space="preserve">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64702E9E" w14:textId="77777777" w:rsidR="00871A33" w:rsidRPr="00515341" w:rsidRDefault="00871A33" w:rsidP="00871A33">
      <w:pPr>
        <w:pStyle w:val="Sraopastraipa"/>
        <w:numPr>
          <w:ilvl w:val="1"/>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ne vėliau kaip per vieną mėnesį nuo 31.1 ar 31.2. papunktyje nurodyto pranešimo apie kibernetinį incidentą pateikimo dienos – pateikti galutinę ataskaitą, kurioje pateikiama informacija, nurodyta pagal Kibernetinio saugumo įstatymo 18 straipsnio 4 dalies 4 punktą. </w:t>
      </w:r>
    </w:p>
    <w:p w14:paraId="3EB94A6D"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Paslaugų teikėjas įsipareigoja atlyginti žalą perkančiajai organizacijai, jei kibernetinio incidento metu buvo pasinaudota paslaugų teikėjo ir (ar) jo pasitelktų subtiekėjų informacine infrastruktūra ir (ar) suteikta prieiga prie perkančiosios organizacijos informacinės infrastruktūros. </w:t>
      </w:r>
    </w:p>
    <w:p w14:paraId="65690812"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Perkančioji organizacija arba jo įgalioti paslaugų teikėjai turi teisę atlikti paslaugų teikėjo atitikties Kibernetinio saugumo reikalavimų aprašo reikalavimams auditą (įskaitant neplaninį), o paslaugų teikėjas turi pareigą sudaryti sąlygas tokiam auditui atlikti sutarties vykdymo laikotarpiu ar įvykus dideliam incidentui. </w:t>
      </w:r>
    </w:p>
    <w:p w14:paraId="09677787"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Perkančioji organizacija arba perkančiosios organizacijos pasitelktas paslaugų teikėjas turi teisę atlikti patikrinimą (vertinimą), ar paslaugų teikėjas, jungtinės veiklos partneriai, subtiekėjai ir ūkio subjektai, kurių pajėgumais remiamasi, tinkamai užtikrina teikiamų paslaugų, vykdomų darbų atitiktį teisės aktuose nustatytiems informacijos saugos, kibernetinio saugumo ir privatumo apsaugos reikalavimams, o paslaugų teikėjas įsipareigoja pateikti perkančiajai organizacijai visą reikalingą informaciją, dokumentus, reikalingus perkančiajai organizacijai tuo įsitikinti. </w:t>
      </w:r>
    </w:p>
    <w:p w14:paraId="6161397A"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Paslaugų teikėjas turi būti pasitvirtinęs savo organizacijos informacijos saugos, kibernetinio saugumo ir privatumo apsaugos politikos dokumentą (-</w:t>
      </w:r>
      <w:proofErr w:type="spellStart"/>
      <w:r w:rsidRPr="00515341">
        <w:rPr>
          <w:rFonts w:asciiTheme="majorHAnsi" w:hAnsiTheme="majorHAnsi" w:cstheme="majorHAnsi"/>
          <w:sz w:val="24"/>
          <w:szCs w:val="24"/>
          <w:lang w:val="lt-LT"/>
        </w:rPr>
        <w:t>us</w:t>
      </w:r>
      <w:proofErr w:type="spellEnd"/>
      <w:r w:rsidRPr="00515341">
        <w:rPr>
          <w:rFonts w:asciiTheme="majorHAnsi" w:hAnsiTheme="majorHAnsi" w:cstheme="majorHAnsi"/>
          <w:sz w:val="24"/>
          <w:szCs w:val="24"/>
          <w:lang w:val="lt-LT"/>
        </w:rPr>
        <w:t xml:space="preserve">). </w:t>
      </w:r>
    </w:p>
    <w:p w14:paraId="69E6E971"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Paslaugų teikėjas visą sutarties galiojimo laikotarpį privalo reguliariai, ne rečiau kaip kartą per metus, taip pat įvykus esminiams organizaciniams ar kitiems reikšmingiems pokyčiams, ir (ar) įvykus dideliam kibernetiniam incidentui, atlikti savo valdomų tinklų ir informacinių sistemų rizikos vertinimą ir parinkti tinkamas priemones nustatytoms rizikoms valdyti; taip pat reguliariai, ne rečiau kaip kartą per metus, įvertinti savo atitiktį Kibernetinio saugumo įstatymo, Kibernetinio saugumo reikalavimų aprašo ir paslaugų teikėjo kibernetinio saugumo politikos dokumentuose nustatytiems reikalavimams. Paslaugų teikėjas įsipareigoja perkančiajai organizacijai pareikalavus pateikti visą reikalingą informaciją, dokumentus, reikalingus įsitikinti, kad paslaugų teikėjas atlieka rizikos ir atitikties vertinimus, parenka tinkamas rizikos valdymo priemones, šalina nustatytas neatitiktis. </w:t>
      </w:r>
    </w:p>
    <w:p w14:paraId="5A967202"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Paslaugų teikėjas įsipareigoja užtikrinti jo tinklų ir informacinių sistemų spragų valdymą. </w:t>
      </w:r>
    </w:p>
    <w:p w14:paraId="58A0AE63"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Paslaugų teikėjas įsipareigoja užtikrinti, kad jo patalpos, įranga, tinklai ir informacinių sistemų priežiūra, informacijos perdavimas tinklais atitinka Kibernetinio saugumo reikalavimų aprašo reikalavimus. </w:t>
      </w:r>
    </w:p>
    <w:p w14:paraId="274EE8E1" w14:textId="77777777" w:rsidR="00871A33" w:rsidRPr="00515341" w:rsidRDefault="00871A33" w:rsidP="00871A33">
      <w:pPr>
        <w:pStyle w:val="Sraopastraipa"/>
        <w:numPr>
          <w:ilvl w:val="0"/>
          <w:numId w:val="2"/>
        </w:numPr>
        <w:tabs>
          <w:tab w:val="left" w:pos="0"/>
        </w:tabs>
        <w:autoSpaceDE w:val="0"/>
        <w:autoSpaceDN w:val="0"/>
        <w:adjustRightInd w:val="0"/>
        <w:spacing w:after="0" w:line="276" w:lineRule="auto"/>
        <w:ind w:left="0" w:right="-1" w:firstLine="709"/>
        <w:rPr>
          <w:rFonts w:asciiTheme="majorHAnsi" w:hAnsiTheme="majorHAnsi" w:cstheme="majorHAnsi"/>
          <w:sz w:val="24"/>
          <w:szCs w:val="24"/>
          <w:lang w:val="lt-LT"/>
        </w:rPr>
      </w:pPr>
      <w:r w:rsidRPr="00515341">
        <w:rPr>
          <w:rFonts w:asciiTheme="majorHAnsi" w:hAnsiTheme="majorHAnsi" w:cstheme="majorHAnsi"/>
          <w:sz w:val="24"/>
          <w:szCs w:val="24"/>
          <w:lang w:val="lt-LT"/>
        </w:rPr>
        <w:t xml:space="preserve">Paslaugų teikėjui fizinė prieiga prie perkančiosios organizacijos tinklų, kitos techninės infrastruktūros ir informacinių sistemų nėra suteikiama; esant būtinybei, paslaugų tiekėjui suteikiama loginė prieiga per perkančiosios organizacijos saugų VPN sprendimą; loginė prieiga suteikiama prie perkančiosios organizacijos kontroliuojamo nuotolinio darbalaukio serverio, kuriame visi paslaugų teikėjo veiksmai yra fiksuojami. </w:t>
      </w:r>
    </w:p>
    <w:p w14:paraId="1948BC35" w14:textId="77777777" w:rsidR="00871A33" w:rsidRPr="00515341" w:rsidRDefault="00871A33" w:rsidP="00871A33">
      <w:pPr>
        <w:spacing w:before="60" w:after="60" w:line="240" w:lineRule="auto"/>
        <w:rPr>
          <w:rFonts w:asciiTheme="majorHAnsi" w:hAnsiTheme="majorHAnsi" w:cstheme="majorHAnsi"/>
          <w:b/>
          <w:sz w:val="20"/>
          <w:szCs w:val="20"/>
        </w:rPr>
      </w:pPr>
    </w:p>
    <w:p w14:paraId="4A4B0C5C" w14:textId="77777777" w:rsidR="00683C0C" w:rsidRPr="00515341" w:rsidRDefault="00683C0C" w:rsidP="00871A33">
      <w:pPr>
        <w:spacing w:before="60" w:after="60" w:line="240" w:lineRule="auto"/>
        <w:jc w:val="both"/>
        <w:rPr>
          <w:rFonts w:asciiTheme="majorHAnsi" w:hAnsiTheme="majorHAnsi" w:cstheme="majorHAnsi"/>
        </w:rPr>
      </w:pPr>
    </w:p>
    <w:sectPr w:rsidR="00683C0C" w:rsidRPr="00515341" w:rsidSect="003C054B">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2C085E7F"/>
    <w:multiLevelType w:val="multilevel"/>
    <w:tmpl w:val="E9586B82"/>
    <w:lvl w:ilvl="0">
      <w:start w:val="1"/>
      <w:numFmt w:val="decimal"/>
      <w:lvlText w:val="%1."/>
      <w:lvlJc w:val="left"/>
      <w:pPr>
        <w:ind w:left="502"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5A930CFE"/>
    <w:multiLevelType w:val="hybridMultilevel"/>
    <w:tmpl w:val="11A2B1BC"/>
    <w:lvl w:ilvl="0" w:tplc="9BA808A0">
      <w:start w:val="1"/>
      <w:numFmt w:val="upperRoman"/>
      <w:lvlText w:val="%1."/>
      <w:lvlJc w:val="left"/>
      <w:pPr>
        <w:ind w:left="1146"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xMjE3NzM1AzKMLZR0lIJTi4sz8/NACgxrAZV9BTAsAAAA"/>
  </w:docVars>
  <w:rsids>
    <w:rsidRoot w:val="009F69B1"/>
    <w:rsid w:val="00002A8D"/>
    <w:rsid w:val="00037267"/>
    <w:rsid w:val="000621EB"/>
    <w:rsid w:val="000D77EF"/>
    <w:rsid w:val="000E1C43"/>
    <w:rsid w:val="00131693"/>
    <w:rsid w:val="001D3FDB"/>
    <w:rsid w:val="001D7FEB"/>
    <w:rsid w:val="001E7A02"/>
    <w:rsid w:val="00267C2B"/>
    <w:rsid w:val="0029411E"/>
    <w:rsid w:val="002A5897"/>
    <w:rsid w:val="00303B21"/>
    <w:rsid w:val="00321874"/>
    <w:rsid w:val="00326B6E"/>
    <w:rsid w:val="00383253"/>
    <w:rsid w:val="003C054B"/>
    <w:rsid w:val="003C3231"/>
    <w:rsid w:val="003D500C"/>
    <w:rsid w:val="004440E7"/>
    <w:rsid w:val="00452D65"/>
    <w:rsid w:val="00475E22"/>
    <w:rsid w:val="004A0B9A"/>
    <w:rsid w:val="00515341"/>
    <w:rsid w:val="0057797F"/>
    <w:rsid w:val="00683C0C"/>
    <w:rsid w:val="00735D34"/>
    <w:rsid w:val="00814EAB"/>
    <w:rsid w:val="00825FAC"/>
    <w:rsid w:val="00871A33"/>
    <w:rsid w:val="008D3B2D"/>
    <w:rsid w:val="00966383"/>
    <w:rsid w:val="00987524"/>
    <w:rsid w:val="00995FF6"/>
    <w:rsid w:val="009B6556"/>
    <w:rsid w:val="009F69B1"/>
    <w:rsid w:val="00C27386"/>
    <w:rsid w:val="00C47A1A"/>
    <w:rsid w:val="00C92BFC"/>
    <w:rsid w:val="00D10A1D"/>
    <w:rsid w:val="00D12884"/>
    <w:rsid w:val="00D40DF5"/>
    <w:rsid w:val="00DA4A4C"/>
    <w:rsid w:val="00DC38BE"/>
    <w:rsid w:val="00E53C87"/>
    <w:rsid w:val="00E66666"/>
    <w:rsid w:val="00E7788A"/>
    <w:rsid w:val="00F242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rsid w:val="003D500C"/>
    <w:pPr>
      <w:tabs>
        <w:tab w:val="center" w:pos="4680"/>
        <w:tab w:val="right" w:pos="9360"/>
      </w:tabs>
      <w:suppressAutoHyphens w:val="0"/>
      <w:autoSpaceDN/>
      <w:spacing w:after="0" w:line="240" w:lineRule="auto"/>
      <w:jc w:val="both"/>
      <w:textAlignment w:val="auto"/>
    </w:pPr>
    <w:rPr>
      <w:rFonts w:asciiTheme="minorHAnsi" w:eastAsiaTheme="minorEastAsia" w:hAnsiTheme="minorHAnsi" w:cstheme="minorBidi"/>
      <w:sz w:val="22"/>
      <w:lang w:val="en-US"/>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3D500C"/>
    <w:rPr>
      <w:rFonts w:eastAsiaTheme="minorEastAsia"/>
      <w:lang w:val="en-US"/>
    </w:rPr>
  </w:style>
  <w:style w:type="character" w:styleId="Hipersaitas">
    <w:name w:val="Hyperlink"/>
    <w:aliases w:val="Alna"/>
    <w:basedOn w:val="Numatytasispastraiposriftas"/>
    <w:unhideWhenUsed/>
    <w:rsid w:val="00871A33"/>
    <w:rPr>
      <w:color w:val="0563C1" w:themeColor="hyperlink"/>
      <w:u w:val="single"/>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871A33"/>
    <w:pPr>
      <w:suppressAutoHyphens w:val="0"/>
      <w:autoSpaceDN/>
      <w:spacing w:after="160" w:line="252" w:lineRule="auto"/>
      <w:ind w:left="720"/>
      <w:contextualSpacing/>
      <w:jc w:val="both"/>
      <w:textAlignment w:val="auto"/>
    </w:pPr>
    <w:rPr>
      <w:rFonts w:asciiTheme="minorHAnsi" w:eastAsiaTheme="minorEastAsia" w:hAnsiTheme="minorHAnsi" w:cstheme="minorBidi"/>
      <w:sz w:val="22"/>
      <w:lang w:val="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871A33"/>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rd.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rd.lrv.lt" TargetMode="External"/><Relationship Id="rId5" Type="http://schemas.openxmlformats.org/officeDocument/2006/relationships/hyperlink" Target="https://www.e-tar.lt/portal/lt/legalAct/TAR.49172C46C223/as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980</TotalTime>
  <Pages>7</Pages>
  <Words>13949</Words>
  <Characters>7951</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Aistė Aničaitė-Stabingienė</cp:lastModifiedBy>
  <cp:revision>12</cp:revision>
  <dcterms:created xsi:type="dcterms:W3CDTF">2026-02-03T11:34:00Z</dcterms:created>
  <dcterms:modified xsi:type="dcterms:W3CDTF">2026-02-11T06:03:00Z</dcterms:modified>
</cp:coreProperties>
</file>